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50" w:rsidRDefault="006F6650" w:rsidP="006F665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 xml:space="preserve"> 201</w:t>
      </w:r>
      <w:r w:rsidR="00E8201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___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B63C52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460A16">
        <w:rPr>
          <w:rFonts w:eastAsia="Calibri"/>
          <w:b/>
          <w:sz w:val="28"/>
          <w:szCs w:val="28"/>
        </w:rPr>
        <w:t>девять месяцев</w:t>
      </w:r>
      <w:r w:rsidR="00E82012">
        <w:rPr>
          <w:rFonts w:eastAsia="Calibri"/>
          <w:b/>
          <w:sz w:val="28"/>
          <w:szCs w:val="28"/>
        </w:rPr>
        <w:t xml:space="preserve"> 2018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E82012">
        <w:t>кой Федерации», статьями 2, 24 у</w:t>
      </w:r>
      <w:r w:rsidRPr="00430840">
        <w:t>става городского поселения Бер</w:t>
      </w:r>
      <w:r w:rsidR="00B63C52">
        <w:t>ё</w:t>
      </w:r>
      <w:r w:rsidRPr="00430840">
        <w:t xml:space="preserve">зово,  </w:t>
      </w:r>
      <w:r w:rsidR="001C5E43" w:rsidRPr="00430840">
        <w:t>рассмотрев отчет об исполнении бюджета городского поселения Бер</w:t>
      </w:r>
      <w:r w:rsidR="00B63C52">
        <w:t>ё</w:t>
      </w:r>
      <w:r w:rsidR="001C5E43" w:rsidRPr="00430840">
        <w:t xml:space="preserve">зово за </w:t>
      </w:r>
      <w:r w:rsidR="00460A16">
        <w:t>девять месяцев</w:t>
      </w:r>
      <w:r w:rsidR="00E82012">
        <w:t xml:space="preserve"> 2018</w:t>
      </w:r>
      <w:r w:rsidR="001C5E43" w:rsidRPr="00430840">
        <w:t xml:space="preserve"> года, утвержденный постановлением администрации Березовского района от </w:t>
      </w:r>
      <w:r w:rsidR="00460A16">
        <w:t>15</w:t>
      </w:r>
      <w:r w:rsidR="00B63C52">
        <w:t xml:space="preserve"> октября </w:t>
      </w:r>
      <w:r w:rsidR="00E82012">
        <w:t>2018</w:t>
      </w:r>
      <w:r w:rsidR="001C5E43" w:rsidRPr="00430840">
        <w:t xml:space="preserve"> </w:t>
      </w:r>
      <w:r w:rsidR="00B63C52">
        <w:t xml:space="preserve">года </w:t>
      </w:r>
      <w:r w:rsidR="001C5E43" w:rsidRPr="00430840">
        <w:t xml:space="preserve">№ </w:t>
      </w:r>
      <w:r w:rsidR="00460A16">
        <w:t>87</w:t>
      </w:r>
      <w:r w:rsidR="00554C3D">
        <w:t>6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B63C52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554C3D">
        <w:rPr>
          <w:sz w:val="28"/>
          <w:szCs w:val="28"/>
        </w:rPr>
        <w:t>девять месяцев</w:t>
      </w:r>
      <w:r w:rsidR="00E8201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B63C52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B63C52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</w:t>
      </w:r>
      <w:r w:rsidR="00B63C52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>городского поселения Бер</w:t>
      </w:r>
      <w:r w:rsidR="00B63C52">
        <w:rPr>
          <w:sz w:val="28"/>
          <w:szCs w:val="28"/>
        </w:rPr>
        <w:t>ё</w:t>
      </w:r>
      <w:r w:rsidR="00460078">
        <w:rPr>
          <w:sz w:val="28"/>
          <w:szCs w:val="28"/>
        </w:rPr>
        <w:t xml:space="preserve">зово и разместить на официальном веб-сайте </w:t>
      </w:r>
      <w:r w:rsidR="00554C3D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B63C52" w:rsidRPr="00B63C52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B63C52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B3101" w:rsidRPr="00B63C52" w:rsidRDefault="00B63C52" w:rsidP="00B63C52">
      <w:pPr>
        <w:pStyle w:val="a5"/>
        <w:ind w:left="0"/>
        <w:jc w:val="center"/>
        <w:rPr>
          <w:color w:val="000000" w:themeColor="text1"/>
          <w:sz w:val="28"/>
          <w:szCs w:val="28"/>
        </w:rPr>
      </w:pPr>
      <w:r w:rsidRPr="00B63C52">
        <w:rPr>
          <w:color w:val="000000" w:themeColor="text1"/>
          <w:sz w:val="28"/>
          <w:szCs w:val="28"/>
        </w:rPr>
        <w:t xml:space="preserve">                                </w:t>
      </w:r>
      <w:r w:rsidR="00FB3101" w:rsidRPr="00B63C52">
        <w:rPr>
          <w:color w:val="000000" w:themeColor="text1"/>
          <w:sz w:val="28"/>
          <w:szCs w:val="28"/>
        </w:rPr>
        <w:t>к решению</w:t>
      </w:r>
      <w:r w:rsidRPr="00B63C52">
        <w:rPr>
          <w:color w:val="000000" w:themeColor="text1"/>
          <w:sz w:val="28"/>
          <w:szCs w:val="28"/>
        </w:rPr>
        <w:t xml:space="preserve"> </w:t>
      </w:r>
      <w:r w:rsidR="00FB3101" w:rsidRPr="00B63C52">
        <w:rPr>
          <w:color w:val="000000" w:themeColor="text1"/>
          <w:sz w:val="28"/>
          <w:szCs w:val="28"/>
        </w:rPr>
        <w:t>Совета депутатов городского поселения Бер</w:t>
      </w:r>
      <w:r>
        <w:rPr>
          <w:color w:val="000000" w:themeColor="text1"/>
          <w:sz w:val="28"/>
          <w:szCs w:val="28"/>
        </w:rPr>
        <w:t>ё</w:t>
      </w:r>
      <w:r w:rsidR="00FB3101" w:rsidRPr="00B63C52">
        <w:rPr>
          <w:color w:val="000000" w:themeColor="text1"/>
          <w:sz w:val="28"/>
          <w:szCs w:val="28"/>
        </w:rPr>
        <w:t xml:space="preserve">зово </w:t>
      </w:r>
    </w:p>
    <w:p w:rsidR="00FB3101" w:rsidRPr="00B63C52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B63C52">
        <w:rPr>
          <w:color w:val="000000" w:themeColor="text1"/>
          <w:sz w:val="28"/>
          <w:szCs w:val="28"/>
        </w:rPr>
        <w:t>от __________________201</w:t>
      </w:r>
      <w:r w:rsidR="00E82012" w:rsidRPr="00B63C52">
        <w:rPr>
          <w:color w:val="000000" w:themeColor="text1"/>
          <w:sz w:val="28"/>
          <w:szCs w:val="28"/>
        </w:rPr>
        <w:t>8</w:t>
      </w:r>
      <w:r w:rsidRPr="00B63C52">
        <w:rPr>
          <w:color w:val="000000" w:themeColor="text1"/>
          <w:sz w:val="28"/>
          <w:szCs w:val="28"/>
        </w:rPr>
        <w:t xml:space="preserve"> года №___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B63C52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554C3D">
        <w:rPr>
          <w:b/>
          <w:bCs/>
          <w:color w:val="000000"/>
          <w:sz w:val="28"/>
          <w:szCs w:val="28"/>
        </w:rPr>
        <w:t>девять месяцев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</w:t>
      </w:r>
      <w:r w:rsidR="00E8201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942" w:type="dxa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1660"/>
        <w:gridCol w:w="1531"/>
        <w:gridCol w:w="1505"/>
      </w:tblGrid>
      <w:tr w:rsidR="00554C3D" w:rsidRPr="00554C3D" w:rsidTr="00CC67A5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План на 2018  год (</w:t>
            </w:r>
            <w:r w:rsidRPr="00554C3D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Исполнение на 1.10.2018 года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554C3D" w:rsidRPr="00554C3D" w:rsidTr="00554C3D">
        <w:trPr>
          <w:trHeight w:val="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</w:tr>
      <w:tr w:rsidR="00554C3D" w:rsidRPr="00554C3D" w:rsidTr="00554C3D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34 962,1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68,6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33 459,6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69,5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73,6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73,6</w:t>
            </w:r>
          </w:p>
        </w:tc>
      </w:tr>
      <w:tr w:rsidR="00554C3D" w:rsidRPr="00554C3D" w:rsidTr="00554C3D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86,0</w:t>
            </w:r>
          </w:p>
        </w:tc>
      </w:tr>
      <w:tr w:rsidR="00554C3D" w:rsidRPr="00554C3D" w:rsidTr="00554C3D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86,0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0,8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0,8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3 884,0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41,9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245,3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16,1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3638,7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47,0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C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1502,5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52,5</w:t>
            </w:r>
          </w:p>
        </w:tc>
      </w:tr>
      <w:tr w:rsidR="00554C3D" w:rsidRPr="00554C3D" w:rsidTr="00554C3D">
        <w:trPr>
          <w:trHeight w:val="2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1318,8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47,6</w:t>
            </w:r>
          </w:p>
        </w:tc>
      </w:tr>
      <w:tr w:rsidR="00554C3D" w:rsidRPr="00554C3D" w:rsidTr="00554C3D">
        <w:trPr>
          <w:trHeight w:val="3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1 087,20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51,8</w:t>
            </w:r>
          </w:p>
        </w:tc>
      </w:tr>
      <w:tr w:rsidR="00554C3D" w:rsidRPr="00554C3D" w:rsidTr="00554C3D">
        <w:trPr>
          <w:trHeight w:val="3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</w:rPr>
              <w:t xml:space="preserve"> </w:t>
            </w:r>
            <w:r w:rsidRPr="00554C3D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51,5</w:t>
            </w:r>
          </w:p>
        </w:tc>
      </w:tr>
      <w:tr w:rsidR="00554C3D" w:rsidRPr="00554C3D" w:rsidTr="00554C3D">
        <w:trPr>
          <w:trHeight w:val="2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</w:t>
            </w:r>
            <w:r>
              <w:rPr>
                <w:color w:val="000000"/>
              </w:rPr>
              <w:t>н</w:t>
            </w:r>
            <w:r w:rsidRPr="00554C3D">
              <w:rPr>
                <w:color w:val="000000"/>
              </w:rPr>
              <w:t>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34,6</w:t>
            </w:r>
          </w:p>
        </w:tc>
      </w:tr>
      <w:tr w:rsidR="00554C3D" w:rsidRPr="00554C3D" w:rsidTr="00554C3D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95,0</w:t>
            </w:r>
          </w:p>
        </w:tc>
      </w:tr>
      <w:tr w:rsidR="00554C3D" w:rsidRPr="00554C3D" w:rsidTr="00554C3D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искл. зем.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95,0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116 982,4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44 289,8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37,9</w:t>
            </w:r>
          </w:p>
        </w:tc>
      </w:tr>
      <w:tr w:rsidR="00554C3D" w:rsidRPr="00554C3D" w:rsidTr="00554C3D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116 979,4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44 286,8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37,9</w:t>
            </w:r>
          </w:p>
        </w:tc>
      </w:tr>
      <w:tr w:rsidR="00554C3D" w:rsidRPr="00554C3D" w:rsidTr="00554C3D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31 460,0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70,7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72 486,8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12 826,8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17,7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100,0</w:t>
            </w:r>
          </w:p>
        </w:tc>
      </w:tr>
      <w:tr w:rsidR="00554C3D" w:rsidRPr="00554C3D" w:rsidTr="00554C3D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000 2 07 00000 13 0000 180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100,0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4C3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167 952,4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79 251,9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47,2</w:t>
            </w:r>
          </w:p>
        </w:tc>
      </w:tr>
    </w:tbl>
    <w:p w:rsidR="00A429A0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Pr="00065C73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источникам финансирования дефицита бюджета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  <w:gridCol w:w="1382"/>
        <w:gridCol w:w="1531"/>
        <w:gridCol w:w="1505"/>
      </w:tblGrid>
      <w:tr w:rsidR="00554C3D" w:rsidRPr="00554C3D" w:rsidTr="00CC67A5">
        <w:trPr>
          <w:trHeight w:val="22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План на год (</w:t>
            </w:r>
            <w:r w:rsidRPr="00554C3D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554C3D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Исполнение на 1.10.2018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554C3D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000 01 05 00 00 </w:t>
            </w:r>
            <w:r w:rsidRPr="00554C3D">
              <w:rPr>
                <w:b/>
                <w:bCs/>
                <w:color w:val="000000"/>
                <w:sz w:val="20"/>
                <w:szCs w:val="20"/>
              </w:rPr>
              <w:t>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554C3D">
              <w:rPr>
                <w:b/>
                <w:bCs/>
                <w:color w:val="000000"/>
              </w:rPr>
              <w:t>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4C3D">
              <w:rPr>
                <w:color w:val="000000"/>
              </w:rPr>
              <w:t xml:space="preserve">140,3   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</w:pPr>
            <w:r w:rsidRPr="00554C3D">
              <w:t>19 811,3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</w:pPr>
            <w:r w:rsidRPr="00554C3D">
              <w:t>8 244,2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54C3D">
              <w:rPr>
                <w:color w:val="000000"/>
              </w:rPr>
              <w:t xml:space="preserve">100,0   </w:t>
            </w:r>
          </w:p>
        </w:tc>
      </w:tr>
      <w:tr w:rsidR="00554C3D" w:rsidRPr="00554C3D" w:rsidTr="00554C3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4C3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554C3D">
              <w:rPr>
                <w:b/>
                <w:bCs/>
                <w:color w:val="000000"/>
              </w:rPr>
              <w:t>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4C3D">
              <w:rPr>
                <w:color w:val="000000"/>
              </w:rPr>
              <w:t xml:space="preserve">140,3   </w:t>
            </w:r>
          </w:p>
        </w:tc>
      </w:tr>
    </w:tbl>
    <w:p w:rsidR="00E82012" w:rsidRPr="00065C73" w:rsidRDefault="00E82012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890FAC" w:rsidRDefault="00890FAC" w:rsidP="00890FAC">
      <w:pPr>
        <w:pStyle w:val="a5"/>
        <w:jc w:val="right"/>
      </w:pPr>
      <w:r w:rsidRPr="00890FAC"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90"/>
        <w:gridCol w:w="400"/>
        <w:gridCol w:w="439"/>
        <w:gridCol w:w="376"/>
        <w:gridCol w:w="299"/>
        <w:gridCol w:w="376"/>
        <w:gridCol w:w="634"/>
        <w:gridCol w:w="456"/>
        <w:gridCol w:w="1173"/>
        <w:gridCol w:w="1050"/>
        <w:gridCol w:w="1152"/>
      </w:tblGrid>
      <w:tr w:rsidR="00554C3D" w:rsidRPr="00554C3D" w:rsidTr="00554C3D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Уточненный план на 1.10.2018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Исполнено на 1.10.2018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176 196,6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67 684,8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20 382,2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10 990,8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53,9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18 006,5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9 230,8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51,3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14 285,0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8 488,4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"Совершенствование системы управления органов местного самоуправления городского поселения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14 285,0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8 488,4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13 340,6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13 340,6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56,5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10 344,1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6 030,0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58,3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10 344,1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6 030,0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1 327,2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1 327,2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99,2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92,6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92,6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1 373,9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56,4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"Обеспечение прав и законных интересов населения городского поселения Берёзово отдельных сферах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70 456,7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30 600,4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50 141,1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23 003,0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33 211,3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24 291,1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24 291,1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Иные межбюджетные </w:t>
            </w:r>
            <w:r w:rsidRPr="00554C3D">
              <w:rPr>
                <w:b/>
                <w:bCs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2 374,0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21,0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«Развитие потребительского рынка  в городском поселении Березовона 2018 – 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"Внесение изменений в генеральный  план и правила землепользования и застройки п. Березово, с. Теги, д. Шайтанка, д. Устрем, д. Деминская, д. Пугоры"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554C3D">
              <w:rPr>
                <w:b/>
                <w:bCs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81 062,8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22 677,4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8 184,4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3 218,5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39,3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8 184,4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3 218,5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2 073,3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"Разработка программы "Комплексное развитие коммунальной инфраструктуры гп.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43 609,4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43 609,4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32 852,9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32 852,9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29 269,0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12 245,1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41,8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13 626,3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7 416,3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67,3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67,3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местного бюджета на софинансирование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15 642,7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"Благоустройство общественных территорий 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Подпрограмма "Совершенствование системы управления органов местного самоуправления городского поселения 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285"/>
        </w:trPr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</w:rPr>
            </w:pPr>
            <w:r w:rsidRPr="00554C3D">
              <w:rPr>
                <w:b/>
                <w:bCs/>
              </w:rPr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176 196,6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67 684,8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38,4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890FAC" w:rsidRDefault="00890FAC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  <w:bookmarkStart w:id="0" w:name="_GoBack"/>
      <w:bookmarkEnd w:id="0"/>
    </w:p>
    <w:sectPr w:rsidR="00554C3D" w:rsidSect="00870DA0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60" w:rsidRDefault="00D11360" w:rsidP="00870DA0">
      <w:r>
        <w:separator/>
      </w:r>
    </w:p>
  </w:endnote>
  <w:endnote w:type="continuationSeparator" w:id="0">
    <w:p w:rsidR="00D11360" w:rsidRDefault="00D11360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60" w:rsidRDefault="00D11360" w:rsidP="00870DA0">
      <w:r>
        <w:separator/>
      </w:r>
    </w:p>
  </w:footnote>
  <w:footnote w:type="continuationSeparator" w:id="0">
    <w:p w:rsidR="00D11360" w:rsidRDefault="00D11360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7206"/>
      <w:docPartObj>
        <w:docPartGallery w:val="Page Numbers (Top of Page)"/>
        <w:docPartUnique/>
      </w:docPartObj>
    </w:sdtPr>
    <w:sdtEndPr/>
    <w:sdtContent>
      <w:p w:rsidR="00554C3D" w:rsidRDefault="00D1136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C5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54C3D" w:rsidRDefault="00554C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54E8A"/>
    <w:rsid w:val="00191270"/>
    <w:rsid w:val="001C1EC6"/>
    <w:rsid w:val="001C5E43"/>
    <w:rsid w:val="001F77BA"/>
    <w:rsid w:val="0026333E"/>
    <w:rsid w:val="0026533E"/>
    <w:rsid w:val="002705EA"/>
    <w:rsid w:val="002E0CA4"/>
    <w:rsid w:val="00314615"/>
    <w:rsid w:val="0031479A"/>
    <w:rsid w:val="00352E77"/>
    <w:rsid w:val="003919F2"/>
    <w:rsid w:val="003D386E"/>
    <w:rsid w:val="00430840"/>
    <w:rsid w:val="00456B88"/>
    <w:rsid w:val="00460078"/>
    <w:rsid w:val="00460A16"/>
    <w:rsid w:val="004E6758"/>
    <w:rsid w:val="0054561D"/>
    <w:rsid w:val="00554C3D"/>
    <w:rsid w:val="00556D93"/>
    <w:rsid w:val="005B0AFA"/>
    <w:rsid w:val="005B0B39"/>
    <w:rsid w:val="005F110C"/>
    <w:rsid w:val="006F6650"/>
    <w:rsid w:val="007004BB"/>
    <w:rsid w:val="0072545F"/>
    <w:rsid w:val="007748E2"/>
    <w:rsid w:val="007E13F1"/>
    <w:rsid w:val="00870DA0"/>
    <w:rsid w:val="00890FAC"/>
    <w:rsid w:val="009062E2"/>
    <w:rsid w:val="009574A2"/>
    <w:rsid w:val="00A2457B"/>
    <w:rsid w:val="00A429A0"/>
    <w:rsid w:val="00A8652A"/>
    <w:rsid w:val="00AD4E72"/>
    <w:rsid w:val="00AE04C9"/>
    <w:rsid w:val="00AF5D98"/>
    <w:rsid w:val="00B63C52"/>
    <w:rsid w:val="00B67201"/>
    <w:rsid w:val="00B9328E"/>
    <w:rsid w:val="00BE0C54"/>
    <w:rsid w:val="00C13F42"/>
    <w:rsid w:val="00CC0583"/>
    <w:rsid w:val="00CC67A5"/>
    <w:rsid w:val="00D11360"/>
    <w:rsid w:val="00D4058B"/>
    <w:rsid w:val="00D538FA"/>
    <w:rsid w:val="00D8472D"/>
    <w:rsid w:val="00D91AB1"/>
    <w:rsid w:val="00E04F84"/>
    <w:rsid w:val="00E82012"/>
    <w:rsid w:val="00F55185"/>
    <w:rsid w:val="00F5750B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9260-D62C-4438-9D10-5BD1AAA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890FA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90FA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0FA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2018-10-22T10:42:00Z</cp:lastPrinted>
  <dcterms:created xsi:type="dcterms:W3CDTF">2017-04-28T06:20:00Z</dcterms:created>
  <dcterms:modified xsi:type="dcterms:W3CDTF">2018-12-04T06:06:00Z</dcterms:modified>
</cp:coreProperties>
</file>