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1558B">
        <w:rPr>
          <w:sz w:val="28"/>
          <w:szCs w:val="28"/>
        </w:rPr>
        <w:t>14 июня</w:t>
      </w:r>
      <w:r>
        <w:rPr>
          <w:rFonts w:eastAsia="Calibri"/>
          <w:sz w:val="28"/>
          <w:szCs w:val="28"/>
        </w:rPr>
        <w:t xml:space="preserve"> 201</w:t>
      </w:r>
      <w:r w:rsidR="00E8201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C1558B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№ </w:t>
      </w:r>
      <w:r w:rsidR="00C1558B">
        <w:rPr>
          <w:sz w:val="28"/>
          <w:szCs w:val="28"/>
        </w:rPr>
        <w:t>135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Березово за </w:t>
      </w:r>
      <w:r w:rsidR="00E82012">
        <w:rPr>
          <w:rFonts w:eastAsia="Calibri"/>
          <w:b/>
          <w:sz w:val="28"/>
          <w:szCs w:val="28"/>
        </w:rPr>
        <w:t>первый квартал 2018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</w:t>
      </w:r>
      <w:proofErr w:type="gramStart"/>
      <w:r w:rsidRPr="00430840">
        <w:t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E82012">
        <w:t>кой Федерации», стать</w:t>
      </w:r>
      <w:r w:rsidR="008140FD">
        <w:t>ями</w:t>
      </w:r>
      <w:r w:rsidR="00C1558B">
        <w:t xml:space="preserve"> </w:t>
      </w:r>
      <w:r w:rsidR="008140FD">
        <w:t>2,24</w:t>
      </w:r>
      <w:r w:rsidR="00C1558B">
        <w:t xml:space="preserve"> </w:t>
      </w:r>
      <w:r w:rsidR="00E82012">
        <w:t>у</w:t>
      </w:r>
      <w:r w:rsidRPr="00430840">
        <w:t xml:space="preserve">става городского поселения Березово, </w:t>
      </w:r>
      <w:r w:rsidR="001C5E43" w:rsidRPr="00430840">
        <w:t xml:space="preserve">рассмотрев отчет об исполнении бюджета городского поселения Березово за </w:t>
      </w:r>
      <w:r w:rsidR="00E82012">
        <w:t>первый квартал 2018</w:t>
      </w:r>
      <w:r w:rsidR="001C5E43" w:rsidRPr="00430840">
        <w:t xml:space="preserve"> года, утвержденный постановлением администрации Березовского района от </w:t>
      </w:r>
      <w:r w:rsidR="00E82012">
        <w:t>28</w:t>
      </w:r>
      <w:r w:rsidR="00C1558B">
        <w:t xml:space="preserve"> апреля </w:t>
      </w:r>
      <w:r w:rsidR="00E82012">
        <w:t>2018</w:t>
      </w:r>
      <w:r w:rsidR="001C5E43" w:rsidRPr="00430840">
        <w:t xml:space="preserve"> </w:t>
      </w:r>
      <w:r w:rsidR="00C1558B">
        <w:t xml:space="preserve">года </w:t>
      </w:r>
      <w:r w:rsidR="001C5E43" w:rsidRPr="00430840">
        <w:t xml:space="preserve">№ </w:t>
      </w:r>
      <w:r w:rsidR="00E82012">
        <w:t>343</w:t>
      </w:r>
      <w:r w:rsidR="00C1558B">
        <w:t xml:space="preserve"> «Об утверждении отчета «Об исполнении бюджета городского поселения Березово</w:t>
      </w:r>
      <w:proofErr w:type="gramEnd"/>
      <w:r w:rsidR="00C1558B">
        <w:t xml:space="preserve"> за первый квартал 2018 года»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E82012">
        <w:rPr>
          <w:sz w:val="28"/>
          <w:szCs w:val="28"/>
        </w:rPr>
        <w:t>первый квартал 2018</w:t>
      </w:r>
      <w:r>
        <w:rPr>
          <w:sz w:val="28"/>
          <w:szCs w:val="28"/>
        </w:rPr>
        <w:t xml:space="preserve"> года принять к сведен</w:t>
      </w:r>
      <w:bookmarkStart w:id="0" w:name="_GoBack"/>
      <w:bookmarkEnd w:id="0"/>
      <w:r>
        <w:rPr>
          <w:sz w:val="28"/>
          <w:szCs w:val="28"/>
        </w:rPr>
        <w:t>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60078">
        <w:rPr>
          <w:sz w:val="28"/>
          <w:szCs w:val="28"/>
        </w:rPr>
        <w:t>Опублико</w:t>
      </w:r>
      <w:r w:rsidR="00476CC9">
        <w:rPr>
          <w:sz w:val="28"/>
          <w:szCs w:val="28"/>
        </w:rPr>
        <w:t>вать настоящее решение в официальном в</w:t>
      </w:r>
      <w:r w:rsidR="00460078">
        <w:rPr>
          <w:sz w:val="28"/>
          <w:szCs w:val="28"/>
        </w:rPr>
        <w:t>естник</w:t>
      </w:r>
      <w:r w:rsidR="00476CC9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</w:t>
      </w:r>
      <w:r w:rsidR="00476CC9">
        <w:rPr>
          <w:sz w:val="28"/>
          <w:szCs w:val="28"/>
        </w:rPr>
        <w:t xml:space="preserve">органа местного самоуправления </w:t>
      </w:r>
      <w:r w:rsidR="00460078">
        <w:rPr>
          <w:sz w:val="28"/>
          <w:szCs w:val="28"/>
        </w:rPr>
        <w:t>городского поселения Бер</w:t>
      </w:r>
      <w:r w:rsidR="00476CC9">
        <w:rPr>
          <w:sz w:val="28"/>
          <w:szCs w:val="28"/>
        </w:rPr>
        <w:t>ё</w:t>
      </w:r>
      <w:r w:rsidR="00460078">
        <w:rPr>
          <w:sz w:val="28"/>
          <w:szCs w:val="28"/>
        </w:rPr>
        <w:t>зово и разместить на официальном веб-сайте городского поселения Берёзово.</w:t>
      </w:r>
      <w:proofErr w:type="gramEnd"/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E82012">
        <w:rPr>
          <w:color w:val="000000" w:themeColor="text1"/>
          <w:sz w:val="28"/>
          <w:szCs w:val="28"/>
        </w:rPr>
        <w:t>городского</w:t>
      </w:r>
      <w:proofErr w:type="gramEnd"/>
      <w:r w:rsidRPr="00E82012">
        <w:rPr>
          <w:color w:val="000000" w:themeColor="text1"/>
          <w:sz w:val="28"/>
          <w:szCs w:val="28"/>
        </w:rPr>
        <w:t xml:space="preserve">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476CC9" w:rsidRDefault="00476CC9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476CC9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476CC9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476CC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</w:t>
      </w:r>
      <w:r w:rsidR="00476CC9">
        <w:rPr>
          <w:color w:val="000000" w:themeColor="text1"/>
          <w:sz w:val="27"/>
          <w:szCs w:val="27"/>
        </w:rPr>
        <w:t xml:space="preserve"> 14 июня </w:t>
      </w:r>
      <w:r>
        <w:rPr>
          <w:color w:val="000000" w:themeColor="text1"/>
          <w:sz w:val="27"/>
          <w:szCs w:val="27"/>
        </w:rPr>
        <w:t>201</w:t>
      </w:r>
      <w:r w:rsidR="00E82012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 xml:space="preserve"> года №</w:t>
      </w:r>
      <w:r w:rsidR="00476CC9">
        <w:rPr>
          <w:color w:val="000000" w:themeColor="text1"/>
          <w:sz w:val="27"/>
          <w:szCs w:val="27"/>
        </w:rPr>
        <w:t xml:space="preserve"> 134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201</w:t>
      </w:r>
      <w:r w:rsidR="00E8201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60"/>
        <w:gridCol w:w="1480"/>
        <w:gridCol w:w="1638"/>
        <w:gridCol w:w="1551"/>
      </w:tblGrid>
      <w:tr w:rsidR="00E82012" w:rsidRPr="00E82012" w:rsidTr="00E82012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201</w:t>
            </w:r>
            <w:r w:rsidRPr="00E82012">
              <w:rPr>
                <w:b/>
                <w:bCs/>
                <w:color w:val="000000"/>
              </w:rPr>
              <w:t>8  год (</w:t>
            </w:r>
            <w:r w:rsidRPr="00E82012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Исполнение на 1.04.2018 года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E82012" w:rsidRPr="00E82012" w:rsidTr="00E82012">
        <w:trPr>
          <w:trHeight w:val="6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</w:p>
        </w:tc>
      </w:tr>
      <w:tr w:rsidR="00E82012" w:rsidRPr="00E82012" w:rsidTr="00E82012">
        <w:trPr>
          <w:trHeight w:val="7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12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50 970,0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11 272,6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22,1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48 110,5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10 538,5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21,9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29 504,1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6 265,2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21,2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29 504,1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6 265,2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21,2</w:t>
            </w:r>
          </w:p>
        </w:tc>
      </w:tr>
      <w:tr w:rsidR="00E82012" w:rsidRPr="00E82012" w:rsidTr="00E82012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9 125,4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2 352,3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25,8</w:t>
            </w:r>
          </w:p>
        </w:tc>
      </w:tr>
      <w:tr w:rsidR="00E82012" w:rsidRPr="00E82012" w:rsidTr="00E82012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9 125,4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2 352,3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25,8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0,8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0,8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9 266,0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1 919,3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20,7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1 526,0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101,8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6,7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 xml:space="preserve">000 1 06 06000 00 0000 </w:t>
            </w:r>
            <w:r w:rsidRPr="00E82012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7 740,0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1817,5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23,5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2859,5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734,1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25,7</w:t>
            </w:r>
          </w:p>
        </w:tc>
      </w:tr>
      <w:tr w:rsidR="00E82012" w:rsidRPr="00E82012" w:rsidTr="00E82012">
        <w:trPr>
          <w:trHeight w:val="21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2769,5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453,9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16,4</w:t>
            </w:r>
          </w:p>
        </w:tc>
      </w:tr>
      <w:tr w:rsidR="00E82012" w:rsidRPr="00E82012" w:rsidTr="00E82012">
        <w:trPr>
          <w:trHeight w:val="34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E82012">
              <w:rPr>
                <w:color w:val="000000"/>
              </w:rPr>
              <w:t>искл</w:t>
            </w:r>
            <w:proofErr w:type="spellEnd"/>
            <w:r w:rsidRPr="00E82012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333,40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15,9</w:t>
            </w:r>
          </w:p>
        </w:tc>
      </w:tr>
      <w:tr w:rsidR="00E82012" w:rsidRPr="00E82012" w:rsidTr="00E82012">
        <w:trPr>
          <w:trHeight w:val="3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E82012">
              <w:rPr>
                <w:color w:val="000000"/>
              </w:rPr>
              <w:t>арендыуказанных</w:t>
            </w:r>
            <w:proofErr w:type="spellEnd"/>
            <w:r w:rsidRPr="00E82012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333,4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15,9</w:t>
            </w:r>
          </w:p>
        </w:tc>
      </w:tr>
      <w:tr w:rsidR="00E82012" w:rsidRPr="00E82012" w:rsidTr="00E82012">
        <w:trPr>
          <w:trHeight w:val="28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E82012">
              <w:rPr>
                <w:color w:val="000000"/>
              </w:rPr>
              <w:t>созданых</w:t>
            </w:r>
            <w:proofErr w:type="spellEnd"/>
            <w:r w:rsidRPr="00E82012">
              <w:rPr>
                <w:color w:val="000000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E82012">
              <w:rPr>
                <w:color w:val="000000"/>
              </w:rPr>
              <w:t>находящихся</w:t>
            </w:r>
            <w:proofErr w:type="gramEnd"/>
            <w:r w:rsidRPr="00E82012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669,5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120,5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18,0</w:t>
            </w:r>
          </w:p>
        </w:tc>
      </w:tr>
      <w:tr w:rsidR="00E82012" w:rsidRPr="00E82012" w:rsidTr="00E82012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224,10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224,1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90,00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56,10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62,3</w:t>
            </w:r>
          </w:p>
        </w:tc>
      </w:tr>
      <w:tr w:rsidR="00E82012" w:rsidRPr="00E82012" w:rsidTr="00E82012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2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proofErr w:type="gramStart"/>
            <w:r w:rsidRPr="00E82012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E82012">
              <w:rPr>
                <w:color w:val="000000"/>
              </w:rPr>
              <w:t>искл</w:t>
            </w:r>
            <w:proofErr w:type="spellEnd"/>
            <w:r w:rsidRPr="00E82012">
              <w:rPr>
                <w:color w:val="000000"/>
              </w:rPr>
              <w:t xml:space="preserve">. </w:t>
            </w:r>
            <w:proofErr w:type="spellStart"/>
            <w:r w:rsidRPr="00E82012">
              <w:rPr>
                <w:color w:val="000000"/>
              </w:rPr>
              <w:t>зем</w:t>
            </w:r>
            <w:proofErr w:type="spellEnd"/>
            <w:r w:rsidRPr="00E82012">
              <w:rPr>
                <w:color w:val="000000"/>
              </w:rPr>
              <w:t>.</w:t>
            </w:r>
            <w:proofErr w:type="gramEnd"/>
            <w:r w:rsidRPr="00E82012">
              <w:rPr>
                <w:color w:val="000000"/>
              </w:rPr>
              <w:t xml:space="preserve"> </w:t>
            </w:r>
            <w:proofErr w:type="gramStart"/>
            <w:r w:rsidRPr="00E82012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56,1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62,3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1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63 487,7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7 212,6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11,4</w:t>
            </w:r>
          </w:p>
        </w:tc>
      </w:tr>
      <w:tr w:rsidR="00E82012" w:rsidRPr="00E82012" w:rsidTr="00E82012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63 487,7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7 212,6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11,4</w:t>
            </w:r>
          </w:p>
        </w:tc>
      </w:tr>
      <w:tr w:rsidR="00E82012" w:rsidRPr="00E82012" w:rsidTr="00E82012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44 492,6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6 831,6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15,4</w:t>
            </w:r>
          </w:p>
        </w:tc>
      </w:tr>
      <w:tr w:rsidR="00E82012" w:rsidRPr="00E82012" w:rsidTr="00E82012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18 995,1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381,0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2,0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2012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114 457,7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18 485,2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16,2</w:t>
            </w:r>
          </w:p>
        </w:tc>
      </w:tr>
    </w:tbl>
    <w:p w:rsidR="00A429A0" w:rsidRPr="00065C73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559"/>
        <w:gridCol w:w="1531"/>
        <w:gridCol w:w="1587"/>
      </w:tblGrid>
      <w:tr w:rsidR="00E82012" w:rsidRPr="00E82012" w:rsidTr="00E82012">
        <w:trPr>
          <w:trHeight w:val="22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E82012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План на год (</w:t>
            </w:r>
            <w:r w:rsidRPr="00E82012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E82012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Исполнение на 1.04.2018 год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E82012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E82012" w:rsidRPr="00E82012" w:rsidTr="00E8201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1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-4 639,7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 xml:space="preserve">-           56,3   </w:t>
            </w:r>
          </w:p>
        </w:tc>
      </w:tr>
      <w:tr w:rsidR="00E82012" w:rsidRPr="00E82012" w:rsidTr="00E82012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</w:pPr>
            <w:r w:rsidRPr="00E82012">
              <w:t>12 883,9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 </w:t>
            </w:r>
          </w:p>
        </w:tc>
      </w:tr>
      <w:tr w:rsidR="00E82012" w:rsidRPr="00E82012" w:rsidTr="00E82012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  <w:sz w:val="20"/>
                <w:szCs w:val="20"/>
              </w:rPr>
            </w:pPr>
            <w:r w:rsidRPr="00E82012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color w:val="000000"/>
              </w:rPr>
            </w:pPr>
            <w:r w:rsidRPr="00E82012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</w:pPr>
            <w:r w:rsidRPr="00E82012">
              <w:t>8 244,2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 xml:space="preserve">           100,0   </w:t>
            </w:r>
          </w:p>
        </w:tc>
      </w:tr>
      <w:tr w:rsidR="00E82012" w:rsidRPr="00E82012" w:rsidTr="00E82012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20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</w:rPr>
            </w:pPr>
            <w:r w:rsidRPr="00E82012">
              <w:rPr>
                <w:b/>
                <w:bCs/>
                <w:color w:val="000000"/>
              </w:rPr>
              <w:t>-4 639,7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12" w:rsidRPr="00E82012" w:rsidRDefault="00E82012" w:rsidP="00E82012">
            <w:pPr>
              <w:jc w:val="center"/>
              <w:rPr>
                <w:color w:val="000000"/>
              </w:rPr>
            </w:pPr>
            <w:r w:rsidRPr="00E82012">
              <w:rPr>
                <w:color w:val="000000"/>
              </w:rPr>
              <w:t xml:space="preserve">-           56,3   </w:t>
            </w:r>
          </w:p>
        </w:tc>
      </w:tr>
    </w:tbl>
    <w:p w:rsidR="00E82012" w:rsidRPr="00065C73" w:rsidRDefault="00E82012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расходам</w:t>
      </w:r>
    </w:p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3699"/>
        <w:gridCol w:w="376"/>
        <w:gridCol w:w="300"/>
        <w:gridCol w:w="376"/>
        <w:gridCol w:w="652"/>
        <w:gridCol w:w="456"/>
        <w:gridCol w:w="1217"/>
        <w:gridCol w:w="1132"/>
        <w:gridCol w:w="1459"/>
      </w:tblGrid>
      <w:tr w:rsidR="00E82012" w:rsidRPr="00E82012" w:rsidTr="00E82012">
        <w:trPr>
          <w:trHeight w:val="48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012">
              <w:rPr>
                <w:b/>
                <w:bCs/>
                <w:color w:val="000000"/>
                <w:sz w:val="16"/>
                <w:szCs w:val="16"/>
              </w:rPr>
              <w:t>План на год (уточненный)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012">
              <w:rPr>
                <w:b/>
                <w:bCs/>
                <w:color w:val="000000"/>
                <w:sz w:val="16"/>
                <w:szCs w:val="16"/>
              </w:rPr>
              <w:t>Исполнение на 1.04.2018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012"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742,0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742,0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742,0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12,1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637,2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637,2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18,6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2 455,9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гп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>.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1 815,8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lastRenderedPageBreak/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1 815,8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1 815,8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1 815,8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10,9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640,1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640,1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640,1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640,1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12,9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E82012">
              <w:rPr>
                <w:b/>
                <w:bCs/>
                <w:sz w:val="16"/>
                <w:szCs w:val="16"/>
              </w:rPr>
              <w:t>сферах</w:t>
            </w:r>
            <w:proofErr w:type="gramEnd"/>
            <w:r w:rsidRPr="00E82012">
              <w:rPr>
                <w:b/>
                <w:bCs/>
                <w:sz w:val="16"/>
                <w:szCs w:val="16"/>
              </w:rPr>
              <w:t xml:space="preserve"> жизнедеятельности в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39 843,6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7 173,4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1 099,7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1 099,7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1 099,7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1 099,7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24,1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35 274,6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6 073,7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17,2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23 743,5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5 973,8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25,2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5 973,8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5 973,8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 xml:space="preserve">Изготовление проекта организации дорожного движения по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пгт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>. Березово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1 755,8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E82012">
              <w:rPr>
                <w:b/>
                <w:bCs/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E82012">
              <w:rPr>
                <w:b/>
                <w:bCs/>
                <w:sz w:val="16"/>
                <w:szCs w:val="16"/>
              </w:rPr>
              <w:t xml:space="preserve"> 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1 755,8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13,4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1 725,6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12,2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1 395,6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1 395,6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271,8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271,8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62,6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62,6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1 144,0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6,9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1 089,1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1 089,1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1 089,1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1 089,1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R5550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R5550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S5550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6 854,0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«Развитие потребительского рынка  в городском поселении Березово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2012">
              <w:rPr>
                <w:b/>
                <w:bCs/>
                <w:sz w:val="16"/>
                <w:szCs w:val="16"/>
              </w:rPr>
              <w:t>на 2018 – 2020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 xml:space="preserve">Основное мероприятие "Внесение изменений в генеральный  план и правила землепользования и застройки п. Березово, с. Теги, д.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Шайтанка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Устрем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Деминская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E82012">
              <w:rPr>
                <w:b/>
                <w:bCs/>
                <w:sz w:val="16"/>
                <w:szCs w:val="16"/>
              </w:rPr>
              <w:t>Пугоры</w:t>
            </w:r>
            <w:proofErr w:type="spellEnd"/>
            <w:r w:rsidRPr="00E82012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574,4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67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574,4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E82012" w:rsidRPr="00E82012" w:rsidTr="00E82012">
        <w:trPr>
          <w:trHeight w:val="90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70,6</w:t>
            </w:r>
          </w:p>
        </w:tc>
      </w:tr>
      <w:tr w:rsidR="00E82012" w:rsidRPr="00E82012" w:rsidTr="00E82012">
        <w:trPr>
          <w:trHeight w:val="45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70,6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91,4</w:t>
            </w:r>
          </w:p>
        </w:tc>
      </w:tr>
      <w:tr w:rsidR="00E82012" w:rsidRPr="00E82012" w:rsidTr="00E82012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91,4</w:t>
            </w:r>
          </w:p>
        </w:tc>
      </w:tr>
      <w:tr w:rsidR="00E82012" w:rsidRPr="00E82012" w:rsidTr="00E82012">
        <w:trPr>
          <w:trHeight w:val="255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rPr>
                <w:b/>
                <w:bCs/>
                <w:sz w:val="20"/>
                <w:szCs w:val="20"/>
              </w:rPr>
            </w:pPr>
            <w:r w:rsidRPr="00E8201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122 701,9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13 845,5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012" w:rsidRPr="00E82012" w:rsidRDefault="00E82012" w:rsidP="00E82012">
            <w:pPr>
              <w:jc w:val="right"/>
              <w:rPr>
                <w:b/>
                <w:bCs/>
                <w:sz w:val="16"/>
                <w:szCs w:val="16"/>
              </w:rPr>
            </w:pPr>
            <w:r w:rsidRPr="00E82012">
              <w:rPr>
                <w:b/>
                <w:bCs/>
                <w:sz w:val="16"/>
                <w:szCs w:val="16"/>
              </w:rPr>
              <w:t>11,3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sectPr w:rsidR="00E82012" w:rsidSect="00870DA0">
      <w:headerReference w:type="default" r:id="rId8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F8" w:rsidRDefault="00C357F8" w:rsidP="00870DA0">
      <w:r>
        <w:separator/>
      </w:r>
    </w:p>
  </w:endnote>
  <w:endnote w:type="continuationSeparator" w:id="0">
    <w:p w:rsidR="00C357F8" w:rsidRDefault="00C357F8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F8" w:rsidRDefault="00C357F8" w:rsidP="00870DA0">
      <w:r>
        <w:separator/>
      </w:r>
    </w:p>
  </w:footnote>
  <w:footnote w:type="continuationSeparator" w:id="0">
    <w:p w:rsidR="00C357F8" w:rsidRDefault="00C357F8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C9" w:rsidRDefault="00476CC9">
    <w:pPr>
      <w:pStyle w:val="ab"/>
      <w:jc w:val="center"/>
    </w:pPr>
  </w:p>
  <w:p w:rsidR="00476CC9" w:rsidRDefault="00476C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954DC"/>
    <w:rsid w:val="000B0A9D"/>
    <w:rsid w:val="00154E8A"/>
    <w:rsid w:val="00191270"/>
    <w:rsid w:val="001C1EC6"/>
    <w:rsid w:val="001C5E43"/>
    <w:rsid w:val="001F77BA"/>
    <w:rsid w:val="0026533E"/>
    <w:rsid w:val="002E0CA4"/>
    <w:rsid w:val="00352E77"/>
    <w:rsid w:val="003919F2"/>
    <w:rsid w:val="00430840"/>
    <w:rsid w:val="00456B88"/>
    <w:rsid w:val="00460078"/>
    <w:rsid w:val="00476CC9"/>
    <w:rsid w:val="004E6758"/>
    <w:rsid w:val="0054561D"/>
    <w:rsid w:val="00556D93"/>
    <w:rsid w:val="005B0B39"/>
    <w:rsid w:val="005F110C"/>
    <w:rsid w:val="006F6650"/>
    <w:rsid w:val="007004BB"/>
    <w:rsid w:val="0072545F"/>
    <w:rsid w:val="007748E2"/>
    <w:rsid w:val="007E13F1"/>
    <w:rsid w:val="008140FD"/>
    <w:rsid w:val="00870DA0"/>
    <w:rsid w:val="009062E2"/>
    <w:rsid w:val="009574A2"/>
    <w:rsid w:val="00A2457B"/>
    <w:rsid w:val="00A429A0"/>
    <w:rsid w:val="00A8652A"/>
    <w:rsid w:val="00AD4E72"/>
    <w:rsid w:val="00AD5950"/>
    <w:rsid w:val="00AE04C9"/>
    <w:rsid w:val="00AF5D98"/>
    <w:rsid w:val="00B67201"/>
    <w:rsid w:val="00BE0C54"/>
    <w:rsid w:val="00C13F42"/>
    <w:rsid w:val="00C1558B"/>
    <w:rsid w:val="00C357F8"/>
    <w:rsid w:val="00CC0583"/>
    <w:rsid w:val="00D4058B"/>
    <w:rsid w:val="00D538FA"/>
    <w:rsid w:val="00D8472D"/>
    <w:rsid w:val="00D91AB1"/>
    <w:rsid w:val="00E82012"/>
    <w:rsid w:val="00F25FC9"/>
    <w:rsid w:val="00F55185"/>
    <w:rsid w:val="00F5750B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2018-05-03T04:32:00Z</cp:lastPrinted>
  <dcterms:created xsi:type="dcterms:W3CDTF">2017-04-28T06:20:00Z</dcterms:created>
  <dcterms:modified xsi:type="dcterms:W3CDTF">2018-06-18T09:10:00Z</dcterms:modified>
</cp:coreProperties>
</file>